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425" w14:textId="7B184FE2" w:rsidR="0040748A" w:rsidRDefault="0040748A" w:rsidP="006B2930">
      <w:pPr>
        <w:jc w:val="center"/>
        <w:rPr>
          <w:rFonts w:ascii="Arial Black" w:hAnsi="Arial Black" w:cs="Aharoni"/>
          <w:sz w:val="40"/>
          <w:szCs w:val="40"/>
        </w:rPr>
      </w:pPr>
      <w:r>
        <w:rPr>
          <w:rFonts w:ascii="Arial Black" w:hAnsi="Arial Black" w:cs="Aharoni"/>
          <w:noProof/>
          <w:sz w:val="40"/>
          <w:szCs w:val="40"/>
        </w:rPr>
        <w:drawing>
          <wp:inline distT="0" distB="0" distL="0" distR="0" wp14:anchorId="6EBD8E14" wp14:editId="5F2D6C90">
            <wp:extent cx="4476750" cy="1238250"/>
            <wp:effectExtent l="0" t="0" r="0" b="0"/>
            <wp:docPr id="821348833" name="Picture 1" descr="A picture containing text, font, whit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48833" name="Picture 1" descr="A picture containing text, font, white, illustr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80" b="3846"/>
                    <a:stretch/>
                  </pic:blipFill>
                  <pic:spPr bwMode="auto">
                    <a:xfrm>
                      <a:off x="0" y="0"/>
                      <a:ext cx="44767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D463D" w14:textId="22CF1B2B" w:rsidR="00A63EB5" w:rsidRDefault="00580000" w:rsidP="006B2930">
      <w:pPr>
        <w:jc w:val="center"/>
        <w:rPr>
          <w:rFonts w:ascii="Arial Black" w:hAnsi="Arial Black" w:cs="Aharoni"/>
          <w:sz w:val="40"/>
          <w:szCs w:val="40"/>
        </w:rPr>
      </w:pPr>
      <w:r>
        <w:rPr>
          <w:rFonts w:ascii="Arial Black" w:hAnsi="Arial Black" w:cs="Aharoni"/>
          <w:sz w:val="40"/>
          <w:szCs w:val="40"/>
        </w:rPr>
        <w:t>Anterior</w:t>
      </w:r>
      <w:r w:rsidR="00A63EB5" w:rsidRPr="00A63EB5">
        <w:rPr>
          <w:rFonts w:ascii="Arial Black" w:hAnsi="Arial Black" w:cs="Aharoni"/>
          <w:sz w:val="40"/>
          <w:szCs w:val="40"/>
        </w:rPr>
        <w:t xml:space="preserve"> Lumbar Interbody Fusion (</w:t>
      </w:r>
      <w:r>
        <w:rPr>
          <w:rFonts w:ascii="Arial Black" w:hAnsi="Arial Black" w:cs="Aharoni"/>
          <w:sz w:val="40"/>
          <w:szCs w:val="40"/>
        </w:rPr>
        <w:t>A</w:t>
      </w:r>
      <w:r w:rsidR="00A63EB5" w:rsidRPr="00A63EB5">
        <w:rPr>
          <w:rFonts w:ascii="Arial Black" w:hAnsi="Arial Black" w:cs="Aharoni"/>
          <w:sz w:val="40"/>
          <w:szCs w:val="40"/>
        </w:rPr>
        <w:t>LIF)</w:t>
      </w:r>
    </w:p>
    <w:p w14:paraId="6A628AEF" w14:textId="77777777" w:rsidR="00FB5398" w:rsidRDefault="00FB5398" w:rsidP="006B2930">
      <w:pPr>
        <w:rPr>
          <w:noProof/>
        </w:rPr>
      </w:pPr>
    </w:p>
    <w:p w14:paraId="0D5780BE" w14:textId="732D79F3" w:rsidR="00A63EB5" w:rsidRDefault="003F0365" w:rsidP="004C797B">
      <w:pPr>
        <w:jc w:val="center"/>
        <w:rPr>
          <w:rFonts w:ascii="Arial Black" w:hAnsi="Arial Black" w:cs="Aharoni"/>
          <w:sz w:val="40"/>
          <w:szCs w:val="40"/>
        </w:rPr>
      </w:pPr>
      <w:r>
        <w:rPr>
          <w:noProof/>
        </w:rPr>
        <w:drawing>
          <wp:inline distT="0" distB="0" distL="0" distR="0" wp14:anchorId="3CEFAEFB" wp14:editId="5DAF4B82">
            <wp:extent cx="2314575" cy="1547336"/>
            <wp:effectExtent l="0" t="0" r="0" b="0"/>
            <wp:docPr id="7174" name="Picture 6" descr="A) L5–S1 approach: horizontal minimal access incision. (B) L3–L4 and... |  Download Scientific Diagram">
              <a:extLst xmlns:a="http://schemas.openxmlformats.org/drawingml/2006/main">
                <a:ext uri="{FF2B5EF4-FFF2-40B4-BE49-F238E27FC236}">
                  <a16:creationId xmlns:a16="http://schemas.microsoft.com/office/drawing/2014/main" id="{40C691A6-DC23-221F-B6AA-85142CE602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A) L5–S1 approach: horizontal minimal access incision. (B) L3–L4 and... |  Download Scientific Diagram">
                      <a:extLst>
                        <a:ext uri="{FF2B5EF4-FFF2-40B4-BE49-F238E27FC236}">
                          <a16:creationId xmlns:a16="http://schemas.microsoft.com/office/drawing/2014/main" id="{40C691A6-DC23-221F-B6AA-85142CE602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05" cy="155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4EE5">
        <w:rPr>
          <w:noProof/>
        </w:rPr>
        <w:drawing>
          <wp:inline distT="0" distB="0" distL="0" distR="0" wp14:anchorId="44A3D88E" wp14:editId="5CB79D9F">
            <wp:extent cx="2771775" cy="1647825"/>
            <wp:effectExtent l="0" t="0" r="9525" b="9525"/>
            <wp:docPr id="1" name="Picture 1" descr="Lumbar Interbody Fusions for Degenerative Spondylolisthesis: Review of  Techniques, Indications, and Outcomes - William Ryan Spiker, Vadim Goz,  Darrel S. Brodke,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bar Interbody Fusions for Degenerative Spondylolisthesis: Review of  Techniques, Indications, and Outcomes - William Ryan Spiker, Vadim Goz,  Darrel S. Brodke,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407">
        <w:rPr>
          <w:noProof/>
        </w:rPr>
        <w:drawing>
          <wp:inline distT="0" distB="0" distL="0" distR="0" wp14:anchorId="6DF113E3" wp14:editId="5494CE98">
            <wp:extent cx="2269830" cy="2269830"/>
            <wp:effectExtent l="0" t="0" r="0" b="0"/>
            <wp:docPr id="16386" name="Picture 2" descr="IdentiTi-ALIF Standalone - ATEC Spine">
              <a:extLst xmlns:a="http://schemas.openxmlformats.org/drawingml/2006/main">
                <a:ext uri="{FF2B5EF4-FFF2-40B4-BE49-F238E27FC236}">
                  <a16:creationId xmlns:a16="http://schemas.microsoft.com/office/drawing/2014/main" id="{69651090-1462-BDA0-E04E-D32D360A57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IdentiTi-ALIF Standalone - ATEC Spine">
                      <a:extLst>
                        <a:ext uri="{FF2B5EF4-FFF2-40B4-BE49-F238E27FC236}">
                          <a16:creationId xmlns:a16="http://schemas.microsoft.com/office/drawing/2014/main" id="{69651090-1462-BDA0-E04E-D32D360A57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30" cy="22698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E51E3">
        <w:rPr>
          <w:noProof/>
        </w:rPr>
        <w:drawing>
          <wp:inline distT="0" distB="0" distL="0" distR="0" wp14:anchorId="6CB30E54" wp14:editId="75712D7B">
            <wp:extent cx="2144383" cy="1742758"/>
            <wp:effectExtent l="0" t="0" r="8890" b="0"/>
            <wp:docPr id="107126087" name="Picture 107126087" descr="Signus receives CE mark for ALIF and cervical cages - Spinal News 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us receives CE mark for ALIF and cervical cages - Spinal News  Internati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07" b="32500"/>
                    <a:stretch/>
                  </pic:blipFill>
                  <pic:spPr bwMode="auto">
                    <a:xfrm>
                      <a:off x="0" y="0"/>
                      <a:ext cx="2152560" cy="17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558E">
        <w:rPr>
          <w:noProof/>
        </w:rPr>
        <w:drawing>
          <wp:inline distT="0" distB="0" distL="0" distR="0" wp14:anchorId="1B6099C6" wp14:editId="3698BA87">
            <wp:extent cx="1428750" cy="2214563"/>
            <wp:effectExtent l="0" t="0" r="0" b="0"/>
            <wp:docPr id="2" name="Picture 1" descr="Anterior Lumbar Interbody Fusion in San Francisco | ALIF, XLIF &amp; D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rior Lumbar Interbody Fusion in San Francisco | ALIF, XLIF &amp; DL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06" cy="22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6E3">
        <w:rPr>
          <w:noProof/>
        </w:rPr>
        <w:drawing>
          <wp:inline distT="0" distB="0" distL="0" distR="0" wp14:anchorId="32AC621A" wp14:editId="34CF5E72">
            <wp:extent cx="3039330" cy="2033588"/>
            <wp:effectExtent l="0" t="0" r="8890" b="5080"/>
            <wp:docPr id="4" name="Picture 3" descr="Oblique Lumbar Interbody Fusion (OLIF) | Manhattan Spine Consul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que Lumbar Interbody Fusion (OLIF) | Manhattan Spine Consul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48" cy="204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17A6" w14:textId="77777777" w:rsidR="00FB5398" w:rsidRDefault="00FB5398" w:rsidP="006B2930">
      <w:pPr>
        <w:rPr>
          <w:rFonts w:ascii="Arial Black" w:hAnsi="Arial Black" w:cs="Aharoni"/>
          <w:sz w:val="32"/>
          <w:szCs w:val="32"/>
        </w:rPr>
      </w:pPr>
    </w:p>
    <w:p w14:paraId="74030BAE" w14:textId="673669E3" w:rsidR="00C3084D" w:rsidRPr="000D0200" w:rsidRDefault="00C3084D" w:rsidP="00A63EB5">
      <w:pPr>
        <w:rPr>
          <w:rFonts w:ascii="Arial Black" w:hAnsi="Arial Black" w:cs="Aharoni"/>
          <w:sz w:val="28"/>
          <w:szCs w:val="28"/>
        </w:rPr>
      </w:pPr>
      <w:r w:rsidRPr="000D0200">
        <w:rPr>
          <w:rFonts w:ascii="Arial Black" w:hAnsi="Arial Black" w:cs="Aharoni"/>
          <w:sz w:val="28"/>
          <w:szCs w:val="28"/>
        </w:rPr>
        <w:t>The spine is accessed through an incision in the belly</w:t>
      </w:r>
      <w:r w:rsidR="00230FDF" w:rsidRPr="000D0200">
        <w:rPr>
          <w:rFonts w:ascii="Arial Black" w:hAnsi="Arial Black" w:cs="Aharoni"/>
          <w:sz w:val="28"/>
          <w:szCs w:val="28"/>
        </w:rPr>
        <w:t>, with the assistance of a vascular surgeon</w:t>
      </w:r>
      <w:r w:rsidRPr="000D0200">
        <w:rPr>
          <w:rFonts w:ascii="Arial Black" w:hAnsi="Arial Black" w:cs="Aharoni"/>
          <w:sz w:val="28"/>
          <w:szCs w:val="28"/>
        </w:rPr>
        <w:t xml:space="preserve">.  </w:t>
      </w:r>
      <w:r w:rsidR="00375284" w:rsidRPr="000D0200">
        <w:rPr>
          <w:rFonts w:ascii="Arial Black" w:hAnsi="Arial Black" w:cs="Aharoni"/>
          <w:sz w:val="28"/>
          <w:szCs w:val="28"/>
        </w:rPr>
        <w:t>After going between the abdominal muscles, the entire contents of the belly are gently pulled over to the ride side</w:t>
      </w:r>
      <w:r w:rsidR="009F3CBB" w:rsidRPr="000D0200">
        <w:rPr>
          <w:rFonts w:ascii="Arial Black" w:hAnsi="Arial Black" w:cs="Aharoni"/>
          <w:sz w:val="28"/>
          <w:szCs w:val="28"/>
        </w:rPr>
        <w:t>, not entering their special lining called the peritoneum</w:t>
      </w:r>
      <w:r w:rsidR="00200921" w:rsidRPr="000D0200">
        <w:rPr>
          <w:rFonts w:ascii="Arial Black" w:hAnsi="Arial Black" w:cs="Aharoni"/>
          <w:sz w:val="28"/>
          <w:szCs w:val="28"/>
        </w:rPr>
        <w:t xml:space="preserve">, exposing the spine.  The damaged disk(s) are removed, </w:t>
      </w:r>
      <w:r w:rsidR="00CF33C0" w:rsidRPr="000D0200">
        <w:rPr>
          <w:rFonts w:ascii="Arial Black" w:hAnsi="Arial Black" w:cs="Aharoni"/>
          <w:sz w:val="28"/>
          <w:szCs w:val="28"/>
        </w:rPr>
        <w:t xml:space="preserve">and an implant or “cage” filled with bone graft is inserted in its place.  This is secured in place with </w:t>
      </w:r>
      <w:r w:rsidR="005746D9" w:rsidRPr="000D0200">
        <w:rPr>
          <w:rFonts w:ascii="Arial Black" w:hAnsi="Arial Black" w:cs="Aharoni"/>
          <w:sz w:val="28"/>
          <w:szCs w:val="28"/>
        </w:rPr>
        <w:t xml:space="preserve">integrated screws or a plate and screws.  Sometimes, </w:t>
      </w:r>
      <w:r w:rsidR="00F85942" w:rsidRPr="000D0200">
        <w:rPr>
          <w:rFonts w:ascii="Arial Black" w:hAnsi="Arial Black" w:cs="Aharoni"/>
          <w:sz w:val="28"/>
          <w:szCs w:val="28"/>
        </w:rPr>
        <w:t>rods and screws are inserted through separate small incisions in the back to increase the stability and strength of the surgery.</w:t>
      </w:r>
    </w:p>
    <w:p w14:paraId="5C70621E" w14:textId="12C393A0" w:rsidR="00A63EB5" w:rsidRPr="003C1849" w:rsidRDefault="006B2930" w:rsidP="00A63EB5">
      <w:pPr>
        <w:rPr>
          <w:rFonts w:ascii="Arial Black" w:hAnsi="Arial Black" w:cs="Aharoni"/>
          <w:sz w:val="28"/>
          <w:szCs w:val="28"/>
          <w:u w:val="single"/>
        </w:rPr>
      </w:pPr>
      <w:r w:rsidRPr="003C1849">
        <w:rPr>
          <w:rFonts w:ascii="Arial Black" w:hAnsi="Arial Black" w:cs="Aharoni"/>
          <w:sz w:val="28"/>
          <w:szCs w:val="28"/>
          <w:u w:val="single"/>
        </w:rPr>
        <w:t>Advantages:</w:t>
      </w:r>
    </w:p>
    <w:p w14:paraId="19927436" w14:textId="17B938CB" w:rsidR="008A4722" w:rsidRPr="000D0200" w:rsidRDefault="00230FDF" w:rsidP="00B94FAC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0D0200">
        <w:rPr>
          <w:rFonts w:ascii="Arial Black" w:hAnsi="Arial Black" w:cs="Aharoni"/>
          <w:sz w:val="28"/>
          <w:szCs w:val="28"/>
        </w:rPr>
        <w:t>Muscle sparing approach – less painful</w:t>
      </w:r>
      <w:r w:rsidR="007F1C54" w:rsidRPr="000D0200">
        <w:rPr>
          <w:rFonts w:ascii="Arial Black" w:hAnsi="Arial Black" w:cs="Aharoni"/>
          <w:sz w:val="28"/>
          <w:szCs w:val="28"/>
        </w:rPr>
        <w:t>, shorter hospital stay, faster recovery.</w:t>
      </w:r>
    </w:p>
    <w:p w14:paraId="4FB89968" w14:textId="77777777" w:rsidR="00A31D1A" w:rsidRPr="000D0200" w:rsidRDefault="007F1C54" w:rsidP="00B94FAC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0D0200">
        <w:rPr>
          <w:rFonts w:ascii="Arial Black" w:hAnsi="Arial Black" w:cs="Aharoni"/>
          <w:sz w:val="28"/>
          <w:szCs w:val="28"/>
        </w:rPr>
        <w:t>Larger surface area cage</w:t>
      </w:r>
      <w:r w:rsidR="00E50101" w:rsidRPr="000D0200">
        <w:rPr>
          <w:rFonts w:ascii="Arial Black" w:hAnsi="Arial Black" w:cs="Aharoni"/>
          <w:sz w:val="28"/>
          <w:szCs w:val="28"/>
        </w:rPr>
        <w:t xml:space="preserve"> – faster healing</w:t>
      </w:r>
      <w:r w:rsidR="00A31D1A" w:rsidRPr="000D0200">
        <w:rPr>
          <w:rFonts w:ascii="Arial Black" w:hAnsi="Arial Black" w:cs="Aharoni"/>
          <w:sz w:val="28"/>
          <w:szCs w:val="28"/>
        </w:rPr>
        <w:t>, less risk of failure.</w:t>
      </w:r>
    </w:p>
    <w:p w14:paraId="6A981AC8" w14:textId="77777777" w:rsidR="00A31D1A" w:rsidRPr="000D0200" w:rsidRDefault="00A31D1A" w:rsidP="00B94FAC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0D0200">
        <w:rPr>
          <w:rFonts w:ascii="Arial Black" w:hAnsi="Arial Black" w:cs="Aharoni"/>
          <w:sz w:val="28"/>
          <w:szCs w:val="28"/>
        </w:rPr>
        <w:t>Nerves are not directly manipulated.</w:t>
      </w:r>
    </w:p>
    <w:p w14:paraId="017D9D38" w14:textId="64F735B0" w:rsidR="007F1C54" w:rsidRPr="000D0200" w:rsidRDefault="00A31D1A" w:rsidP="00A31D1A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0D0200">
        <w:rPr>
          <w:rFonts w:ascii="Arial Black" w:hAnsi="Arial Black" w:cs="Aharoni"/>
          <w:sz w:val="28"/>
          <w:szCs w:val="28"/>
        </w:rPr>
        <w:t>Better restoration of the natural spinal alignment.</w:t>
      </w:r>
      <w:r w:rsidR="00E50101" w:rsidRPr="000D0200">
        <w:rPr>
          <w:rFonts w:ascii="Arial Black" w:hAnsi="Arial Black" w:cs="Aharoni"/>
          <w:sz w:val="28"/>
          <w:szCs w:val="28"/>
        </w:rPr>
        <w:t xml:space="preserve"> </w:t>
      </w:r>
    </w:p>
    <w:p w14:paraId="31FB952E" w14:textId="141E8298" w:rsidR="008A4722" w:rsidRPr="003C1849" w:rsidRDefault="00FB5398" w:rsidP="00A31D1A">
      <w:pPr>
        <w:rPr>
          <w:rFonts w:ascii="Arial Black" w:hAnsi="Arial Black" w:cs="Aharoni"/>
          <w:sz w:val="28"/>
          <w:szCs w:val="28"/>
          <w:u w:val="single"/>
        </w:rPr>
      </w:pPr>
      <w:r w:rsidRPr="003C1849">
        <w:rPr>
          <w:rFonts w:ascii="Arial Black" w:hAnsi="Arial Black" w:cs="Aharoni"/>
          <w:sz w:val="28"/>
          <w:szCs w:val="28"/>
          <w:u w:val="single"/>
        </w:rPr>
        <w:t>Disadvantages/risks:</w:t>
      </w:r>
    </w:p>
    <w:p w14:paraId="676BAEB5" w14:textId="1FE298E6" w:rsidR="000D0200" w:rsidRDefault="00A31D1A" w:rsidP="000D7ED2">
      <w:pPr>
        <w:pStyle w:val="ListParagraph"/>
        <w:numPr>
          <w:ilvl w:val="0"/>
          <w:numId w:val="5"/>
        </w:numPr>
        <w:rPr>
          <w:rFonts w:ascii="Arial Black" w:hAnsi="Arial Black" w:cs="Aharoni"/>
          <w:sz w:val="28"/>
          <w:szCs w:val="28"/>
        </w:rPr>
      </w:pPr>
      <w:r w:rsidRPr="000D0200">
        <w:rPr>
          <w:rFonts w:ascii="Arial Black" w:hAnsi="Arial Black" w:cs="Aharoni"/>
          <w:sz w:val="28"/>
          <w:szCs w:val="28"/>
        </w:rPr>
        <w:t>Accessing the spine from the front can be difficult</w:t>
      </w:r>
      <w:r w:rsidR="000D0200" w:rsidRPr="000D0200">
        <w:rPr>
          <w:rFonts w:ascii="Arial Black" w:hAnsi="Arial Black" w:cs="Aharoni"/>
          <w:sz w:val="28"/>
          <w:szCs w:val="28"/>
        </w:rPr>
        <w:t xml:space="preserve"> or </w:t>
      </w:r>
      <w:r w:rsidR="000D7ED2">
        <w:rPr>
          <w:rFonts w:ascii="Arial Black" w:hAnsi="Arial Black" w:cs="Aharoni"/>
          <w:sz w:val="28"/>
          <w:szCs w:val="28"/>
        </w:rPr>
        <w:t>unsafe</w:t>
      </w:r>
      <w:r w:rsidR="000D0200" w:rsidRPr="000D0200">
        <w:rPr>
          <w:rFonts w:ascii="Arial Black" w:hAnsi="Arial Black" w:cs="Aharoni"/>
          <w:sz w:val="28"/>
          <w:szCs w:val="28"/>
        </w:rPr>
        <w:t xml:space="preserve"> with prior abdominal surgeries.</w:t>
      </w:r>
    </w:p>
    <w:p w14:paraId="3885A6A1" w14:textId="0038A3EF" w:rsidR="000D7ED2" w:rsidRDefault="000D7ED2" w:rsidP="000D7ED2">
      <w:pPr>
        <w:pStyle w:val="ListParagraph"/>
        <w:numPr>
          <w:ilvl w:val="0"/>
          <w:numId w:val="5"/>
        </w:numPr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The risk of significant vascular injury is extremely low but is possible, as it is sometimes necessary to manipulate the large blood vessels that carry blood to/from your legs.</w:t>
      </w:r>
    </w:p>
    <w:p w14:paraId="4A1F1F23" w14:textId="7C364DAA" w:rsidR="000D7ED2" w:rsidRPr="000D7ED2" w:rsidRDefault="005158D4" w:rsidP="000D7ED2">
      <w:pPr>
        <w:pStyle w:val="ListParagraph"/>
        <w:numPr>
          <w:ilvl w:val="0"/>
          <w:numId w:val="5"/>
        </w:numPr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The risk of retrograde ejaculation in men is low but possible</w:t>
      </w:r>
      <w:r w:rsidR="00EB6A90">
        <w:rPr>
          <w:rFonts w:ascii="Arial Black" w:hAnsi="Arial Black" w:cs="Aharoni"/>
          <w:sz w:val="28"/>
          <w:szCs w:val="28"/>
        </w:rPr>
        <w:t>, which can affect the ability to bear children.</w:t>
      </w:r>
    </w:p>
    <w:sectPr w:rsidR="000D7ED2" w:rsidRPr="000D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1009"/>
    <w:multiLevelType w:val="hybridMultilevel"/>
    <w:tmpl w:val="B876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2A05"/>
    <w:multiLevelType w:val="hybridMultilevel"/>
    <w:tmpl w:val="5390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248"/>
    <w:multiLevelType w:val="hybridMultilevel"/>
    <w:tmpl w:val="CB3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A35A2"/>
    <w:multiLevelType w:val="hybridMultilevel"/>
    <w:tmpl w:val="A1F8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1241"/>
    <w:multiLevelType w:val="hybridMultilevel"/>
    <w:tmpl w:val="147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78214">
    <w:abstractNumId w:val="2"/>
  </w:num>
  <w:num w:numId="2" w16cid:durableId="1829319687">
    <w:abstractNumId w:val="1"/>
  </w:num>
  <w:num w:numId="3" w16cid:durableId="275521740">
    <w:abstractNumId w:val="4"/>
  </w:num>
  <w:num w:numId="4" w16cid:durableId="925965316">
    <w:abstractNumId w:val="0"/>
  </w:num>
  <w:num w:numId="5" w16cid:durableId="73964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B5"/>
    <w:rsid w:val="00001922"/>
    <w:rsid w:val="00084720"/>
    <w:rsid w:val="000C4079"/>
    <w:rsid w:val="000D0200"/>
    <w:rsid w:val="000D7ED2"/>
    <w:rsid w:val="001148DA"/>
    <w:rsid w:val="00165407"/>
    <w:rsid w:val="00200921"/>
    <w:rsid w:val="0022558E"/>
    <w:rsid w:val="00230FDF"/>
    <w:rsid w:val="002A7AF3"/>
    <w:rsid w:val="00375284"/>
    <w:rsid w:val="003C1849"/>
    <w:rsid w:val="003C4B5A"/>
    <w:rsid w:val="003E4EE5"/>
    <w:rsid w:val="003F0365"/>
    <w:rsid w:val="0040748A"/>
    <w:rsid w:val="004C797B"/>
    <w:rsid w:val="004D474C"/>
    <w:rsid w:val="005158D4"/>
    <w:rsid w:val="005746D9"/>
    <w:rsid w:val="00580000"/>
    <w:rsid w:val="005811AA"/>
    <w:rsid w:val="005B3B25"/>
    <w:rsid w:val="005B7416"/>
    <w:rsid w:val="0061648C"/>
    <w:rsid w:val="006B2930"/>
    <w:rsid w:val="007F1C54"/>
    <w:rsid w:val="00806344"/>
    <w:rsid w:val="008A4722"/>
    <w:rsid w:val="0098475F"/>
    <w:rsid w:val="009A404E"/>
    <w:rsid w:val="009F3CBB"/>
    <w:rsid w:val="00A31D1A"/>
    <w:rsid w:val="00A34E84"/>
    <w:rsid w:val="00A63EB5"/>
    <w:rsid w:val="00B94FAC"/>
    <w:rsid w:val="00BB26E3"/>
    <w:rsid w:val="00BE51E3"/>
    <w:rsid w:val="00C3084D"/>
    <w:rsid w:val="00CF33C0"/>
    <w:rsid w:val="00E50101"/>
    <w:rsid w:val="00E905D4"/>
    <w:rsid w:val="00EB6A90"/>
    <w:rsid w:val="00F85942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69F0"/>
  <w15:chartTrackingRefBased/>
  <w15:docId w15:val="{A3BB948A-6806-4FD3-95E5-F693ED4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nelles</dc:creator>
  <cp:keywords/>
  <dc:description/>
  <cp:lastModifiedBy>dave nelles</cp:lastModifiedBy>
  <cp:revision>30</cp:revision>
  <dcterms:created xsi:type="dcterms:W3CDTF">2023-05-16T22:35:00Z</dcterms:created>
  <dcterms:modified xsi:type="dcterms:W3CDTF">2023-05-16T23:07:00Z</dcterms:modified>
</cp:coreProperties>
</file>